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01" w:rsidRPr="007E4A01" w:rsidRDefault="00383CF9" w:rsidP="007E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b/>
          <w:color w:val="000000"/>
          <w:sz w:val="28"/>
          <w:szCs w:val="24"/>
        </w:rPr>
      </w:pPr>
      <w:r>
        <w:rPr>
          <w:rFonts w:ascii="Courier New" w:eastAsia="Times New Roman" w:hAnsi="Courier New" w:cs="Courier New"/>
          <w:b/>
          <w:color w:val="000000"/>
          <w:sz w:val="28"/>
          <w:szCs w:val="24"/>
        </w:rPr>
        <w:t>Health and Safety Code</w:t>
      </w:r>
    </w:p>
    <w:p w:rsidR="007E4A01" w:rsidRPr="007E4A01" w:rsidRDefault="007E4A01" w:rsidP="007E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proofErr w:type="gramStart"/>
      <w:r w:rsidRPr="00383CF9">
        <w:rPr>
          <w:rFonts w:ascii="Courier New" w:eastAsia="Times New Roman" w:hAnsi="Courier New" w:cs="Courier New"/>
          <w:color w:val="000000"/>
          <w:sz w:val="24"/>
          <w:szCs w:val="24"/>
        </w:rPr>
        <w:t>Sec. 61.006.</w:t>
      </w:r>
      <w:proofErr w:type="gramEnd"/>
      <w:r w:rsidRPr="00383CF9">
        <w:rPr>
          <w:rFonts w:ascii="Courier New" w:eastAsia="Times New Roman" w:hAnsi="Courier New" w:cs="Courier New"/>
          <w:color w:val="000000"/>
          <w:sz w:val="24"/>
          <w:szCs w:val="24"/>
        </w:rPr>
        <w:t>  </w:t>
      </w:r>
      <w:proofErr w:type="gramStart"/>
      <w:r w:rsidRPr="00383CF9">
        <w:rPr>
          <w:rFonts w:ascii="Courier New" w:eastAsia="Times New Roman" w:hAnsi="Courier New" w:cs="Courier New"/>
          <w:color w:val="000000"/>
          <w:sz w:val="24"/>
          <w:szCs w:val="24"/>
        </w:rPr>
        <w:t>STANDARDS AND PROCEDURES.</w:t>
      </w:r>
      <w:proofErr w:type="gramEnd"/>
      <w:r w:rsidRPr="00383CF9">
        <w:rPr>
          <w:rFonts w:ascii="Courier New" w:eastAsia="Times New Roman" w:hAnsi="Courier New" w:cs="Courier New"/>
          <w:color w:val="000000"/>
          <w:sz w:val="24"/>
          <w:szCs w:val="24"/>
        </w:rPr>
        <w:t>  (a)  The department shall establish minimum eligibility standards and application, documentation, and verification procedures for counties to use in determining eligibility under this chapter.</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(b)  The minimum eligibility standards must incorporate a net income eligibility level equal to 21 percent of the federal poverty level based on the federal Office of Management and Budget poverty index.</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w:t>
      </w:r>
      <w:proofErr w:type="gramStart"/>
      <w:r w:rsidRPr="00383CF9">
        <w:rPr>
          <w:rFonts w:ascii="Courier New" w:eastAsia="Times New Roman" w:hAnsi="Courier New" w:cs="Courier New"/>
          <w:color w:val="000000"/>
          <w:sz w:val="24"/>
          <w:szCs w:val="24"/>
        </w:rPr>
        <w:t>b-1</w:t>
      </w:r>
      <w:proofErr w:type="gramEnd"/>
      <w:r w:rsidRPr="00383CF9">
        <w:rPr>
          <w:rFonts w:ascii="Courier New" w:eastAsia="Times New Roman" w:hAnsi="Courier New" w:cs="Courier New"/>
          <w:color w:val="000000"/>
          <w:sz w:val="24"/>
          <w:szCs w:val="24"/>
        </w:rPr>
        <w:t>)  </w:t>
      </w:r>
      <w:proofErr w:type="gramStart"/>
      <w:r w:rsidRPr="00383CF9">
        <w:rPr>
          <w:rFonts w:ascii="Courier New" w:eastAsia="Times New Roman" w:hAnsi="Courier New" w:cs="Courier New"/>
          <w:color w:val="000000"/>
          <w:sz w:val="24"/>
          <w:szCs w:val="24"/>
        </w:rPr>
        <w:t>Expired.</w:t>
      </w:r>
      <w:proofErr w:type="gramEnd"/>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w:t>
      </w:r>
      <w:proofErr w:type="gramStart"/>
      <w:r w:rsidRPr="00383CF9">
        <w:rPr>
          <w:rFonts w:ascii="Courier New" w:eastAsia="Times New Roman" w:hAnsi="Courier New" w:cs="Courier New"/>
          <w:color w:val="000000"/>
          <w:sz w:val="24"/>
          <w:szCs w:val="24"/>
        </w:rPr>
        <w:t>b-2</w:t>
      </w:r>
      <w:proofErr w:type="gramEnd"/>
      <w:r w:rsidRPr="00383CF9">
        <w:rPr>
          <w:rFonts w:ascii="Courier New" w:eastAsia="Times New Roman" w:hAnsi="Courier New" w:cs="Courier New"/>
          <w:color w:val="000000"/>
          <w:sz w:val="24"/>
          <w:szCs w:val="24"/>
        </w:rPr>
        <w:t>)  </w:t>
      </w:r>
      <w:proofErr w:type="gramStart"/>
      <w:r w:rsidRPr="00383CF9">
        <w:rPr>
          <w:rFonts w:ascii="Courier New" w:eastAsia="Times New Roman" w:hAnsi="Courier New" w:cs="Courier New"/>
          <w:color w:val="000000"/>
          <w:sz w:val="24"/>
          <w:szCs w:val="24"/>
        </w:rPr>
        <w:t xml:space="preserve">Repealed by Acts 2001, 77th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1128, Sec. 7, eff. Sept. 1, 2001.</w:t>
      </w:r>
      <w:proofErr w:type="gramEnd"/>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(c)  The department shall also define the services and establish the payment standards for the categories of services listed in Sections 61.028(a) and 61.0285 in accordance with Texas Department of Human Services rules relating to the Temporary Assistance for Needy Families-Medicaid program.</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(d)  The department shall establish application, documentation, and verification procedures that are consistent with the analogous procedures used to determine eligibility in the Temporary Assistance for Needy Families-Medicaid program. The department may not adopt a standard or procedure that is more restrictive than the Temporary Assistance for Needy Families-Medicaid program or procedures.</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(e)  The department shall ensure that each person who meets the basic income and resources requirements for Temporary Assistance for Needy Families program payments but who is categorically ineligible for Temporary Assistance for Needy Families will be eligible for assistance under Subchapter B. Except as provided by Section 61.023(b), the department by rule shall also provide that a person who receives or is eligible to receive Temporary Assistance for Needy Families, Supplemental Security Income, or Medicaid benefits is not eligible for assistance under Subchapter B even if the person has exhausted a part or all of that person's benefits.</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lastRenderedPageBreak/>
        <w:t>(f)  The department shall notify each county and public hospital of any change to department rules that affect the provision of services under this chapter.</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(g)  Notwithstanding Subsection (a), (b), or (c) or any other provision of law, the department shall permit payment to a licensed dentist for services provided under Sections 61.028(a)(4) and (6) if the dentist can provide those services within the scope of the dentist's license.</w:t>
      </w:r>
    </w:p>
    <w:p w:rsidR="00383CF9" w:rsidRPr="00383CF9" w:rsidRDefault="00383CF9" w:rsidP="00383CF9">
      <w:pPr>
        <w:spacing w:after="0" w:line="360" w:lineRule="atLeast"/>
        <w:ind w:firstLine="840"/>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(h)  Notwithstanding Subsection (a), (b), or (c), the department shall permit payment to a licensed podiatrist for services provided under Sections 61.028(a</w:t>
      </w:r>
      <w:proofErr w:type="gramStart"/>
      <w:r w:rsidRPr="00383CF9">
        <w:rPr>
          <w:rFonts w:ascii="Courier New" w:eastAsia="Times New Roman" w:hAnsi="Courier New" w:cs="Courier New"/>
          <w:color w:val="000000"/>
          <w:sz w:val="24"/>
          <w:szCs w:val="24"/>
        </w:rPr>
        <w:t>)(</w:t>
      </w:r>
      <w:proofErr w:type="gramEnd"/>
      <w:r w:rsidRPr="00383CF9">
        <w:rPr>
          <w:rFonts w:ascii="Courier New" w:eastAsia="Times New Roman" w:hAnsi="Courier New" w:cs="Courier New"/>
          <w:color w:val="000000"/>
          <w:sz w:val="24"/>
          <w:szCs w:val="24"/>
        </w:rPr>
        <w:t>4) and (6), if the podiatrist can provide the services within the scope of the podiatrist's license.</w:t>
      </w:r>
    </w:p>
    <w:p w:rsidR="00383CF9" w:rsidRPr="00383CF9" w:rsidRDefault="00383CF9" w:rsidP="00383CF9">
      <w:pPr>
        <w:spacing w:after="0" w:line="240" w:lineRule="auto"/>
        <w:rPr>
          <w:rFonts w:ascii="Times New Roman" w:eastAsia="Times New Roman" w:hAnsi="Times New Roman" w:cs="Times New Roman"/>
          <w:color w:val="000000"/>
          <w:sz w:val="24"/>
          <w:szCs w:val="24"/>
        </w:rPr>
      </w:pPr>
    </w:p>
    <w:p w:rsidR="00383CF9" w:rsidRPr="00383CF9" w:rsidRDefault="00383CF9" w:rsidP="00383CF9">
      <w:pPr>
        <w:spacing w:after="0" w:line="360" w:lineRule="atLeast"/>
        <w:rPr>
          <w:rFonts w:ascii="Courier New" w:eastAsia="Times New Roman" w:hAnsi="Courier New" w:cs="Courier New"/>
          <w:color w:val="000000"/>
          <w:sz w:val="24"/>
          <w:szCs w:val="24"/>
        </w:rPr>
      </w:pPr>
      <w:r w:rsidRPr="00383CF9">
        <w:rPr>
          <w:rFonts w:ascii="Courier New" w:eastAsia="Times New Roman" w:hAnsi="Courier New" w:cs="Courier New"/>
          <w:color w:val="000000"/>
          <w:sz w:val="24"/>
          <w:szCs w:val="24"/>
        </w:rPr>
        <w:t xml:space="preserve">Acts 1989, 71st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xml:space="preserve">. 678, Sec. 1, eff. Sept. 1, 1989. Amended by Acts 1989, 71st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xml:space="preserve">. 1100, Sec. 5.09(a), eff. Sept. 1, 1989; Acts 1991, 72nd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xml:space="preserve">. 14, Sec. 15, eff. Sept. 1, 1991; Acts 1995, 74th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xml:space="preserve">. 76, Sec. 8.120, eff. Sept. 1, 1995; Acts 1999, 76th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xml:space="preserve">. 1377, Sec. 1.04, eff. Sept. 1, 1999; Acts 2001, 77th Leg., </w:t>
      </w:r>
      <w:proofErr w:type="spellStart"/>
      <w:r w:rsidRPr="00383CF9">
        <w:rPr>
          <w:rFonts w:ascii="Courier New" w:eastAsia="Times New Roman" w:hAnsi="Courier New" w:cs="Courier New"/>
          <w:color w:val="000000"/>
          <w:sz w:val="24"/>
          <w:szCs w:val="24"/>
        </w:rPr>
        <w:t>ch</w:t>
      </w:r>
      <w:proofErr w:type="spellEnd"/>
      <w:r w:rsidRPr="00383CF9">
        <w:rPr>
          <w:rFonts w:ascii="Courier New" w:eastAsia="Times New Roman" w:hAnsi="Courier New" w:cs="Courier New"/>
          <w:color w:val="000000"/>
          <w:sz w:val="24"/>
          <w:szCs w:val="24"/>
        </w:rPr>
        <w:t>. 1128, Sec. 1, 7 eff. Sept. 1, 2001.</w:t>
      </w:r>
    </w:p>
    <w:p w:rsidR="007E4A01" w:rsidRDefault="007E4A01" w:rsidP="0038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pPr>
    </w:p>
    <w:sectPr w:rsidR="007E4A01" w:rsidSect="008670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7FE" w:rsidRDefault="005F17FE" w:rsidP="005F17FE">
      <w:pPr>
        <w:spacing w:after="0" w:line="240" w:lineRule="auto"/>
      </w:pPr>
      <w:r>
        <w:separator/>
      </w:r>
    </w:p>
  </w:endnote>
  <w:endnote w:type="continuationSeparator" w:id="0">
    <w:p w:rsidR="005F17FE" w:rsidRDefault="005F17FE" w:rsidP="005F1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A3" w:rsidRDefault="00E65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A3" w:rsidRDefault="00E65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A3" w:rsidRDefault="00E65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7FE" w:rsidRDefault="005F17FE" w:rsidP="005F17FE">
      <w:pPr>
        <w:spacing w:after="0" w:line="240" w:lineRule="auto"/>
      </w:pPr>
      <w:r>
        <w:separator/>
      </w:r>
    </w:p>
  </w:footnote>
  <w:footnote w:type="continuationSeparator" w:id="0">
    <w:p w:rsidR="005F17FE" w:rsidRDefault="005F17FE" w:rsidP="005F1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A3" w:rsidRDefault="00E65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7FE" w:rsidRPr="00E658A3" w:rsidRDefault="005F17FE" w:rsidP="005F17FE">
    <w:pPr>
      <w:pStyle w:val="Header"/>
      <w:jc w:val="center"/>
      <w:rPr>
        <w:color w:val="FF0000"/>
        <w:sz w:val="36"/>
        <w:szCs w:val="36"/>
      </w:rPr>
    </w:pPr>
    <w:r w:rsidRPr="00E658A3">
      <w:rPr>
        <w:color w:val="FF0000"/>
        <w:sz w:val="36"/>
        <w:szCs w:val="36"/>
      </w:rPr>
      <w:t>SLP 9</w:t>
    </w:r>
  </w:p>
  <w:p w:rsidR="005F17FE" w:rsidRDefault="005F1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A3" w:rsidRDefault="00E658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E4A01"/>
    <w:rsid w:val="00383CF9"/>
    <w:rsid w:val="005F17FE"/>
    <w:rsid w:val="00616872"/>
    <w:rsid w:val="007E4A01"/>
    <w:rsid w:val="00867086"/>
    <w:rsid w:val="00900733"/>
    <w:rsid w:val="00AD4903"/>
    <w:rsid w:val="00D15A54"/>
    <w:rsid w:val="00E26B6A"/>
    <w:rsid w:val="00E65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7E4A0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rsid w:val="007E4A0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7E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A0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7E4A01"/>
    <w:rPr>
      <w:color w:val="0000FF"/>
      <w:u w:val="single"/>
    </w:rPr>
  </w:style>
  <w:style w:type="paragraph" w:styleId="Header">
    <w:name w:val="header"/>
    <w:basedOn w:val="Normal"/>
    <w:link w:val="HeaderChar"/>
    <w:uiPriority w:val="99"/>
    <w:unhideWhenUsed/>
    <w:rsid w:val="005F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FE"/>
  </w:style>
  <w:style w:type="paragraph" w:styleId="Footer">
    <w:name w:val="footer"/>
    <w:basedOn w:val="Normal"/>
    <w:link w:val="FooterChar"/>
    <w:uiPriority w:val="99"/>
    <w:semiHidden/>
    <w:unhideWhenUsed/>
    <w:rsid w:val="005F17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7FE"/>
  </w:style>
  <w:style w:type="paragraph" w:styleId="BalloonText">
    <w:name w:val="Balloon Text"/>
    <w:basedOn w:val="Normal"/>
    <w:link w:val="BalloonTextChar"/>
    <w:uiPriority w:val="99"/>
    <w:semiHidden/>
    <w:unhideWhenUsed/>
    <w:rsid w:val="005F1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139714">
      <w:bodyDiv w:val="1"/>
      <w:marLeft w:val="0"/>
      <w:marRight w:val="0"/>
      <w:marTop w:val="0"/>
      <w:marBottom w:val="0"/>
      <w:divBdr>
        <w:top w:val="none" w:sz="0" w:space="0" w:color="auto"/>
        <w:left w:val="none" w:sz="0" w:space="0" w:color="auto"/>
        <w:bottom w:val="none" w:sz="0" w:space="0" w:color="auto"/>
        <w:right w:val="none" w:sz="0" w:space="0" w:color="auto"/>
      </w:divBdr>
    </w:div>
    <w:div w:id="16865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Georgia Shepherd</cp:lastModifiedBy>
  <cp:revision>4</cp:revision>
  <dcterms:created xsi:type="dcterms:W3CDTF">2010-10-14T13:12:00Z</dcterms:created>
  <dcterms:modified xsi:type="dcterms:W3CDTF">2010-10-14T13:15:00Z</dcterms:modified>
</cp:coreProperties>
</file>