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6"/>
        <w:gridCol w:w="5562"/>
        <w:gridCol w:w="3780"/>
      </w:tblGrid>
      <w:tr w:rsidR="007E7E28" w:rsidTr="009259B5">
        <w:trPr>
          <w:jc w:val="center"/>
        </w:trPr>
        <w:tc>
          <w:tcPr>
            <w:tcW w:w="1746" w:type="dxa"/>
            <w:tcBorders>
              <w:top w:val="nil"/>
              <w:left w:val="nil"/>
              <w:bottom w:val="nil"/>
              <w:right w:val="nil"/>
            </w:tcBorders>
            <w:vAlign w:val="center"/>
          </w:tcPr>
          <w:p w:rsidR="007E7E28" w:rsidRDefault="00180EE0" w:rsidP="00E056C7">
            <w:r>
              <w:rPr>
                <w:noProof/>
              </w:rPr>
              <w:drawing>
                <wp:inline distT="0" distB="0" distL="0" distR="0">
                  <wp:extent cx="930910" cy="946785"/>
                  <wp:effectExtent l="19050" t="0" r="2540" b="0"/>
                  <wp:docPr id="1" name="Picture 1" descr="cc_letter_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_letter_logo4"/>
                          <pic:cNvPicPr>
                            <a:picLocks noChangeAspect="1" noChangeArrowheads="1"/>
                          </pic:cNvPicPr>
                        </pic:nvPicPr>
                        <pic:blipFill>
                          <a:blip r:embed="rId8" cstate="print"/>
                          <a:srcRect/>
                          <a:stretch>
                            <a:fillRect/>
                          </a:stretch>
                        </pic:blipFill>
                        <pic:spPr bwMode="auto">
                          <a:xfrm>
                            <a:off x="0" y="0"/>
                            <a:ext cx="930910" cy="946785"/>
                          </a:xfrm>
                          <a:prstGeom prst="rect">
                            <a:avLst/>
                          </a:prstGeom>
                          <a:noFill/>
                          <a:ln w="9525">
                            <a:noFill/>
                            <a:miter lim="800000"/>
                            <a:headEnd/>
                            <a:tailEnd/>
                          </a:ln>
                        </pic:spPr>
                      </pic:pic>
                    </a:graphicData>
                  </a:graphic>
                </wp:inline>
              </w:drawing>
            </w:r>
          </w:p>
        </w:tc>
        <w:tc>
          <w:tcPr>
            <w:tcW w:w="5562" w:type="dxa"/>
            <w:tcBorders>
              <w:top w:val="nil"/>
              <w:left w:val="nil"/>
              <w:bottom w:val="nil"/>
              <w:right w:val="nil"/>
            </w:tcBorders>
            <w:vAlign w:val="center"/>
          </w:tcPr>
          <w:p w:rsidR="007E7E28" w:rsidRPr="009259B5" w:rsidRDefault="007E7E28" w:rsidP="00E056C7">
            <w:pPr>
              <w:rPr>
                <w:rFonts w:ascii="Franklin Gothic Demi" w:hAnsi="Franklin Gothic Demi"/>
                <w:spacing w:val="130"/>
                <w:kern w:val="36"/>
                <w:sz w:val="36"/>
                <w:szCs w:val="36"/>
              </w:rPr>
            </w:pPr>
            <w:smartTag w:uri="urn:schemas-microsoft-com:office:smarttags" w:element="place">
              <w:smartTag w:uri="urn:schemas-microsoft-com:office:smarttags" w:element="PlaceName">
                <w:r w:rsidRPr="009259B5">
                  <w:rPr>
                    <w:rFonts w:ascii="Franklin Gothic Demi" w:hAnsi="Franklin Gothic Demi"/>
                    <w:spacing w:val="130"/>
                    <w:kern w:val="36"/>
                    <w:sz w:val="36"/>
                    <w:szCs w:val="36"/>
                  </w:rPr>
                  <w:t>COLLIN</w:t>
                </w:r>
              </w:smartTag>
              <w:r w:rsidRPr="009259B5">
                <w:rPr>
                  <w:rFonts w:ascii="Franklin Gothic Demi" w:hAnsi="Franklin Gothic Demi"/>
                  <w:spacing w:val="130"/>
                  <w:kern w:val="36"/>
                  <w:sz w:val="36"/>
                  <w:szCs w:val="36"/>
                </w:rPr>
                <w:t xml:space="preserve"> </w:t>
              </w:r>
              <w:smartTag w:uri="urn:schemas-microsoft-com:office:smarttags" w:element="PlaceName">
                <w:r w:rsidRPr="009259B5">
                  <w:rPr>
                    <w:rFonts w:ascii="Franklin Gothic Demi" w:hAnsi="Franklin Gothic Demi"/>
                    <w:spacing w:val="130"/>
                    <w:kern w:val="36"/>
                    <w:sz w:val="36"/>
                    <w:szCs w:val="36"/>
                  </w:rPr>
                  <w:t>COUNTY</w:t>
                </w:r>
              </w:smartTag>
            </w:smartTag>
          </w:p>
        </w:tc>
        <w:tc>
          <w:tcPr>
            <w:tcW w:w="3780" w:type="dxa"/>
            <w:tcBorders>
              <w:top w:val="nil"/>
              <w:left w:val="nil"/>
              <w:bottom w:val="nil"/>
              <w:right w:val="nil"/>
            </w:tcBorders>
            <w:vAlign w:val="center"/>
          </w:tcPr>
          <w:p w:rsidR="007E7E28" w:rsidRPr="009259B5" w:rsidRDefault="00F444AC" w:rsidP="009259B5">
            <w:pPr>
              <w:jc w:val="right"/>
              <w:rPr>
                <w:rFonts w:ascii="Franklin Gothic Book" w:hAnsi="Franklin Gothic Book"/>
                <w:spacing w:val="20"/>
                <w:sz w:val="22"/>
                <w:szCs w:val="22"/>
              </w:rPr>
            </w:pPr>
            <w:r>
              <w:rPr>
                <w:rFonts w:ascii="Franklin Gothic Book" w:hAnsi="Franklin Gothic Book"/>
                <w:spacing w:val="20"/>
                <w:sz w:val="22"/>
                <w:szCs w:val="22"/>
              </w:rPr>
              <w:t>Administrative Service</w:t>
            </w:r>
            <w:r w:rsidR="00FC3BA8">
              <w:rPr>
                <w:rFonts w:ascii="Franklin Gothic Book" w:hAnsi="Franklin Gothic Book"/>
                <w:spacing w:val="20"/>
                <w:sz w:val="22"/>
                <w:szCs w:val="22"/>
              </w:rPr>
              <w:t>s</w:t>
            </w:r>
            <w:r w:rsidR="007E7E28" w:rsidRPr="009259B5">
              <w:rPr>
                <w:rFonts w:ascii="Franklin Gothic Book" w:hAnsi="Franklin Gothic Book"/>
                <w:spacing w:val="20"/>
                <w:sz w:val="22"/>
                <w:szCs w:val="22"/>
              </w:rPr>
              <w:br/>
            </w:r>
            <w:r>
              <w:rPr>
                <w:rFonts w:ascii="Franklin Gothic Book" w:hAnsi="Franklin Gothic Book"/>
                <w:spacing w:val="20"/>
                <w:sz w:val="22"/>
                <w:szCs w:val="22"/>
              </w:rPr>
              <w:t xml:space="preserve">2300 </w:t>
            </w:r>
            <w:proofErr w:type="spellStart"/>
            <w:r>
              <w:rPr>
                <w:rFonts w:ascii="Franklin Gothic Book" w:hAnsi="Franklin Gothic Book"/>
                <w:spacing w:val="20"/>
                <w:sz w:val="22"/>
                <w:szCs w:val="22"/>
              </w:rPr>
              <w:t>Bloomdale</w:t>
            </w:r>
            <w:proofErr w:type="spellEnd"/>
            <w:r w:rsidR="007E7E28" w:rsidRPr="009259B5">
              <w:rPr>
                <w:rFonts w:ascii="Franklin Gothic Book" w:hAnsi="Franklin Gothic Book"/>
                <w:spacing w:val="20"/>
                <w:sz w:val="22"/>
                <w:szCs w:val="22"/>
              </w:rPr>
              <w:br/>
            </w:r>
            <w:r>
              <w:rPr>
                <w:rFonts w:ascii="Franklin Gothic Book" w:hAnsi="Franklin Gothic Book"/>
                <w:spacing w:val="20"/>
                <w:sz w:val="22"/>
                <w:szCs w:val="22"/>
              </w:rPr>
              <w:t>McKinney, Texas 7507</w:t>
            </w:r>
            <w:r w:rsidR="006529D5">
              <w:rPr>
                <w:rFonts w:ascii="Franklin Gothic Book" w:hAnsi="Franklin Gothic Book"/>
                <w:spacing w:val="20"/>
                <w:sz w:val="22"/>
                <w:szCs w:val="22"/>
              </w:rPr>
              <w:t>1</w:t>
            </w:r>
          </w:p>
          <w:p w:rsidR="007E7E28" w:rsidRPr="009259B5" w:rsidRDefault="007E7E28" w:rsidP="00F444AC">
            <w:pPr>
              <w:jc w:val="right"/>
              <w:rPr>
                <w:rFonts w:ascii="Franklin Gothic Book" w:hAnsi="Franklin Gothic Book"/>
                <w:spacing w:val="20"/>
                <w:sz w:val="22"/>
                <w:szCs w:val="22"/>
              </w:rPr>
            </w:pPr>
            <w:r w:rsidRPr="009259B5">
              <w:rPr>
                <w:rFonts w:ascii="Franklin Gothic Book" w:hAnsi="Franklin Gothic Book"/>
                <w:spacing w:val="20"/>
                <w:sz w:val="22"/>
                <w:szCs w:val="22"/>
              </w:rPr>
              <w:t>972-548-</w:t>
            </w:r>
            <w:r w:rsidR="00F444AC">
              <w:rPr>
                <w:rFonts w:ascii="Franklin Gothic Book" w:hAnsi="Franklin Gothic Book"/>
                <w:spacing w:val="20"/>
                <w:sz w:val="22"/>
                <w:szCs w:val="22"/>
              </w:rPr>
              <w:t>4631</w:t>
            </w:r>
            <w:r w:rsidRPr="009259B5">
              <w:rPr>
                <w:rFonts w:ascii="Franklin Gothic Book" w:hAnsi="Franklin Gothic Book"/>
                <w:spacing w:val="20"/>
                <w:sz w:val="22"/>
                <w:szCs w:val="22"/>
              </w:rPr>
              <w:br/>
            </w:r>
            <w:hyperlink r:id="rId9" w:history="1">
              <w:r w:rsidR="00FC3BA8" w:rsidRPr="00332259">
                <w:rPr>
                  <w:rStyle w:val="Hyperlink"/>
                  <w:rFonts w:ascii="Franklin Gothic Book" w:hAnsi="Franklin Gothic Book"/>
                  <w:spacing w:val="20"/>
                  <w:sz w:val="22"/>
                  <w:szCs w:val="22"/>
                </w:rPr>
                <w:t>www.collincountytx.gov</w:t>
              </w:r>
            </w:hyperlink>
          </w:p>
        </w:tc>
      </w:tr>
      <w:tr w:rsidR="007E7E28" w:rsidTr="009259B5">
        <w:trPr>
          <w:jc w:val="center"/>
        </w:trPr>
        <w:tc>
          <w:tcPr>
            <w:tcW w:w="11088" w:type="dxa"/>
            <w:gridSpan w:val="3"/>
            <w:tcBorders>
              <w:top w:val="nil"/>
              <w:left w:val="nil"/>
              <w:bottom w:val="nil"/>
              <w:right w:val="nil"/>
            </w:tcBorders>
            <w:vAlign w:val="center"/>
          </w:tcPr>
          <w:p w:rsidR="007E7E28" w:rsidRPr="009259B5" w:rsidRDefault="007E7E28" w:rsidP="009259B5">
            <w:pPr>
              <w:pBdr>
                <w:bottom w:val="single" w:sz="6" w:space="1" w:color="auto"/>
              </w:pBdr>
              <w:jc w:val="center"/>
              <w:rPr>
                <w:sz w:val="16"/>
                <w:szCs w:val="16"/>
              </w:rPr>
            </w:pPr>
          </w:p>
          <w:p w:rsidR="007E7E28" w:rsidRPr="009259B5" w:rsidRDefault="007E7E28" w:rsidP="009259B5">
            <w:pPr>
              <w:jc w:val="center"/>
              <w:rPr>
                <w:sz w:val="16"/>
                <w:szCs w:val="16"/>
              </w:rPr>
            </w:pPr>
          </w:p>
        </w:tc>
      </w:tr>
    </w:tbl>
    <w:p w:rsidR="004D30AB" w:rsidRDefault="004D30AB" w:rsidP="007E7E28">
      <w:pPr>
        <w:spacing w:line="360" w:lineRule="auto"/>
        <w:rPr>
          <w:rFonts w:ascii="Garamond" w:hAnsi="Garamond"/>
          <w:b/>
        </w:rPr>
      </w:pPr>
    </w:p>
    <w:p w:rsidR="00C02976" w:rsidRPr="00C657EE" w:rsidRDefault="00C02976" w:rsidP="007E7E28">
      <w:pPr>
        <w:spacing w:line="360" w:lineRule="auto"/>
        <w:rPr>
          <w:rFonts w:ascii="Arial" w:hAnsi="Arial" w:cs="Arial"/>
          <w:sz w:val="22"/>
          <w:szCs w:val="22"/>
        </w:rPr>
      </w:pPr>
      <w:r w:rsidRPr="00C657EE">
        <w:rPr>
          <w:rFonts w:ascii="Arial" w:hAnsi="Arial" w:cs="Arial"/>
          <w:sz w:val="22"/>
          <w:szCs w:val="22"/>
        </w:rPr>
        <w:t xml:space="preserve">To:  </w:t>
      </w:r>
      <w:r w:rsidR="007E7E28" w:rsidRPr="00C657EE">
        <w:rPr>
          <w:rFonts w:ascii="Arial" w:hAnsi="Arial" w:cs="Arial"/>
          <w:sz w:val="22"/>
          <w:szCs w:val="22"/>
        </w:rPr>
        <w:t xml:space="preserve">    </w:t>
      </w:r>
      <w:r w:rsidR="001C47A6" w:rsidRPr="00C657EE">
        <w:rPr>
          <w:rFonts w:ascii="Arial" w:hAnsi="Arial" w:cs="Arial"/>
          <w:sz w:val="22"/>
          <w:szCs w:val="22"/>
        </w:rPr>
        <w:t xml:space="preserve"> </w:t>
      </w:r>
      <w:r w:rsidR="004D30AB" w:rsidRPr="00C657EE">
        <w:rPr>
          <w:rFonts w:ascii="Arial" w:hAnsi="Arial" w:cs="Arial"/>
          <w:sz w:val="22"/>
          <w:szCs w:val="22"/>
        </w:rPr>
        <w:tab/>
      </w:r>
      <w:r w:rsidRPr="00C657EE">
        <w:rPr>
          <w:rFonts w:ascii="Arial" w:hAnsi="Arial" w:cs="Arial"/>
          <w:sz w:val="22"/>
          <w:szCs w:val="22"/>
        </w:rPr>
        <w:t>Commissioners Court</w:t>
      </w:r>
    </w:p>
    <w:p w:rsidR="00C02976" w:rsidRPr="00C657EE" w:rsidRDefault="00C02976" w:rsidP="007E7E28">
      <w:pPr>
        <w:spacing w:line="360" w:lineRule="auto"/>
        <w:rPr>
          <w:rFonts w:ascii="Arial" w:hAnsi="Arial" w:cs="Arial"/>
          <w:sz w:val="22"/>
          <w:szCs w:val="22"/>
        </w:rPr>
      </w:pPr>
      <w:r w:rsidRPr="00C657EE">
        <w:rPr>
          <w:rFonts w:ascii="Arial" w:hAnsi="Arial" w:cs="Arial"/>
          <w:sz w:val="22"/>
          <w:szCs w:val="22"/>
        </w:rPr>
        <w:t xml:space="preserve">From: </w:t>
      </w:r>
      <w:r w:rsidR="007E7E28" w:rsidRPr="00C657EE">
        <w:rPr>
          <w:rFonts w:ascii="Arial" w:hAnsi="Arial" w:cs="Arial"/>
          <w:sz w:val="22"/>
          <w:szCs w:val="22"/>
        </w:rPr>
        <w:t xml:space="preserve"> </w:t>
      </w:r>
      <w:r w:rsidR="004D30AB" w:rsidRPr="00C657EE">
        <w:rPr>
          <w:rFonts w:ascii="Arial" w:hAnsi="Arial" w:cs="Arial"/>
          <w:sz w:val="22"/>
          <w:szCs w:val="22"/>
        </w:rPr>
        <w:tab/>
      </w:r>
      <w:r w:rsidR="00C657EE">
        <w:rPr>
          <w:rFonts w:ascii="Arial" w:hAnsi="Arial" w:cs="Arial"/>
          <w:sz w:val="22"/>
          <w:szCs w:val="22"/>
        </w:rPr>
        <w:tab/>
      </w:r>
      <w:r w:rsidR="004D30AB" w:rsidRPr="00C657EE">
        <w:rPr>
          <w:rFonts w:ascii="Arial" w:hAnsi="Arial" w:cs="Arial"/>
          <w:sz w:val="22"/>
          <w:szCs w:val="22"/>
        </w:rPr>
        <w:t>Bill Bilyeu</w:t>
      </w:r>
    </w:p>
    <w:p w:rsidR="004D30AB" w:rsidRPr="00C657EE" w:rsidRDefault="004D30AB" w:rsidP="004D30AB">
      <w:pPr>
        <w:spacing w:line="360" w:lineRule="auto"/>
        <w:rPr>
          <w:rFonts w:ascii="Arial" w:hAnsi="Arial" w:cs="Arial"/>
          <w:sz w:val="22"/>
          <w:szCs w:val="22"/>
        </w:rPr>
      </w:pPr>
      <w:r w:rsidRPr="00C657EE">
        <w:rPr>
          <w:rFonts w:ascii="Arial" w:hAnsi="Arial" w:cs="Arial"/>
          <w:sz w:val="22"/>
          <w:szCs w:val="22"/>
        </w:rPr>
        <w:t>Date:</w:t>
      </w:r>
      <w:r w:rsidRPr="00C657EE">
        <w:rPr>
          <w:rFonts w:ascii="Arial" w:hAnsi="Arial" w:cs="Arial"/>
          <w:sz w:val="22"/>
          <w:szCs w:val="22"/>
        </w:rPr>
        <w:tab/>
      </w:r>
      <w:r w:rsidRPr="00C657EE">
        <w:rPr>
          <w:rFonts w:ascii="Arial" w:hAnsi="Arial" w:cs="Arial"/>
          <w:sz w:val="22"/>
          <w:szCs w:val="22"/>
        </w:rPr>
        <w:tab/>
      </w:r>
      <w:r w:rsidR="002E77B0">
        <w:rPr>
          <w:rFonts w:ascii="Arial" w:hAnsi="Arial" w:cs="Arial"/>
          <w:sz w:val="22"/>
          <w:szCs w:val="22"/>
        </w:rPr>
        <w:t>August 31</w:t>
      </w:r>
      <w:r w:rsidR="00DC23D8" w:rsidRPr="00C657EE">
        <w:rPr>
          <w:rFonts w:ascii="Arial" w:hAnsi="Arial" w:cs="Arial"/>
          <w:sz w:val="22"/>
          <w:szCs w:val="22"/>
        </w:rPr>
        <w:t>, 2011</w:t>
      </w:r>
    </w:p>
    <w:p w:rsidR="00C02976" w:rsidRPr="00C657EE" w:rsidRDefault="00C02976" w:rsidP="007E7E28">
      <w:pPr>
        <w:spacing w:line="360" w:lineRule="auto"/>
        <w:rPr>
          <w:rFonts w:ascii="Arial" w:hAnsi="Arial" w:cs="Arial"/>
          <w:sz w:val="22"/>
          <w:szCs w:val="22"/>
        </w:rPr>
      </w:pPr>
      <w:r w:rsidRPr="00C657EE">
        <w:rPr>
          <w:rFonts w:ascii="Arial" w:hAnsi="Arial" w:cs="Arial"/>
          <w:sz w:val="22"/>
          <w:szCs w:val="22"/>
        </w:rPr>
        <w:t xml:space="preserve">Re:  </w:t>
      </w:r>
      <w:r w:rsidR="007E7E28" w:rsidRPr="00C657EE">
        <w:rPr>
          <w:rFonts w:ascii="Arial" w:hAnsi="Arial" w:cs="Arial"/>
          <w:sz w:val="22"/>
          <w:szCs w:val="22"/>
        </w:rPr>
        <w:t xml:space="preserve">   </w:t>
      </w:r>
      <w:r w:rsidR="001C47A6" w:rsidRPr="00C657EE">
        <w:rPr>
          <w:rFonts w:ascii="Arial" w:hAnsi="Arial" w:cs="Arial"/>
          <w:sz w:val="22"/>
          <w:szCs w:val="22"/>
        </w:rPr>
        <w:t xml:space="preserve">  </w:t>
      </w:r>
      <w:r w:rsidR="004D30AB" w:rsidRPr="00C657EE">
        <w:rPr>
          <w:rFonts w:ascii="Arial" w:hAnsi="Arial" w:cs="Arial"/>
          <w:sz w:val="22"/>
          <w:szCs w:val="22"/>
        </w:rPr>
        <w:tab/>
      </w:r>
      <w:r w:rsidR="00592288">
        <w:rPr>
          <w:rFonts w:ascii="Arial" w:hAnsi="Arial" w:cs="Arial"/>
          <w:sz w:val="22"/>
          <w:szCs w:val="22"/>
        </w:rPr>
        <w:t>3 Year 50% New Business Abatement Policy</w:t>
      </w:r>
    </w:p>
    <w:p w:rsidR="00C02976" w:rsidRPr="00C657EE" w:rsidRDefault="00C02976">
      <w:pPr>
        <w:rPr>
          <w:rFonts w:ascii="Arial" w:hAnsi="Arial" w:cs="Arial"/>
          <w:sz w:val="22"/>
          <w:szCs w:val="22"/>
        </w:rPr>
      </w:pPr>
    </w:p>
    <w:p w:rsidR="00F444AC" w:rsidRDefault="00592288">
      <w:pPr>
        <w:rPr>
          <w:rFonts w:ascii="Arial" w:hAnsi="Arial" w:cs="Arial"/>
          <w:sz w:val="22"/>
          <w:szCs w:val="22"/>
        </w:rPr>
      </w:pPr>
      <w:r>
        <w:rPr>
          <w:rFonts w:ascii="Arial" w:hAnsi="Arial" w:cs="Arial"/>
          <w:sz w:val="22"/>
          <w:szCs w:val="22"/>
        </w:rPr>
        <w:t xml:space="preserve">Legal counsel will be available at today’s meeting to give a status update on the recently adopted tax abatement </w:t>
      </w:r>
      <w:r w:rsidR="005A228E">
        <w:rPr>
          <w:rFonts w:ascii="Arial" w:hAnsi="Arial" w:cs="Arial"/>
          <w:sz w:val="22"/>
          <w:szCs w:val="22"/>
        </w:rPr>
        <w:t xml:space="preserve">program </w:t>
      </w:r>
      <w:r>
        <w:rPr>
          <w:rFonts w:ascii="Arial" w:hAnsi="Arial" w:cs="Arial"/>
          <w:sz w:val="22"/>
          <w:szCs w:val="22"/>
        </w:rPr>
        <w:t xml:space="preserve">for new businesses in Collin County.  As you are aware, this is an innovative program and there are some bureaucratic hurdles and legal interpretations that need to be further researched and discussed. </w:t>
      </w:r>
      <w:r w:rsidR="00F444AC">
        <w:rPr>
          <w:rFonts w:ascii="Arial" w:hAnsi="Arial" w:cs="Arial"/>
          <w:sz w:val="22"/>
          <w:szCs w:val="22"/>
        </w:rPr>
        <w:t xml:space="preserve">  We expect to discuss a general order of events and an expected timeline to implement the program.</w:t>
      </w:r>
    </w:p>
    <w:p w:rsidR="00F444AC" w:rsidRDefault="00F444AC">
      <w:pPr>
        <w:rPr>
          <w:rFonts w:ascii="Arial" w:hAnsi="Arial" w:cs="Arial"/>
          <w:sz w:val="22"/>
          <w:szCs w:val="22"/>
        </w:rPr>
      </w:pPr>
    </w:p>
    <w:p w:rsidR="00F23D1D" w:rsidRDefault="00F23D1D">
      <w:pPr>
        <w:rPr>
          <w:rFonts w:ascii="Arial" w:hAnsi="Arial" w:cs="Arial"/>
          <w:sz w:val="22"/>
          <w:szCs w:val="22"/>
        </w:rPr>
      </w:pPr>
      <w:r>
        <w:rPr>
          <w:rFonts w:ascii="Arial" w:hAnsi="Arial" w:cs="Arial"/>
          <w:sz w:val="22"/>
          <w:szCs w:val="22"/>
        </w:rPr>
        <w:t>Some areas of discussion:</w:t>
      </w:r>
    </w:p>
    <w:p w:rsidR="00F444AC" w:rsidRPr="00F23D1D" w:rsidRDefault="00F444AC" w:rsidP="00F23D1D">
      <w:pPr>
        <w:pStyle w:val="ListParagraph"/>
        <w:numPr>
          <w:ilvl w:val="0"/>
          <w:numId w:val="11"/>
        </w:numPr>
        <w:rPr>
          <w:rFonts w:ascii="Arial" w:hAnsi="Arial" w:cs="Arial"/>
          <w:sz w:val="22"/>
          <w:szCs w:val="22"/>
        </w:rPr>
      </w:pPr>
      <w:r w:rsidRPr="00F23D1D">
        <w:rPr>
          <w:rFonts w:ascii="Arial" w:hAnsi="Arial" w:cs="Arial"/>
          <w:sz w:val="22"/>
          <w:szCs w:val="22"/>
        </w:rPr>
        <w:t>Abatements can only be given in designated reinvestment zones</w:t>
      </w:r>
      <w:r w:rsidR="00F23D1D" w:rsidRPr="00F23D1D">
        <w:rPr>
          <w:rFonts w:ascii="Arial" w:hAnsi="Arial" w:cs="Arial"/>
          <w:sz w:val="22"/>
          <w:szCs w:val="22"/>
        </w:rPr>
        <w:t>.</w:t>
      </w:r>
    </w:p>
    <w:p w:rsidR="00F444AC" w:rsidRPr="00F23D1D" w:rsidRDefault="00F444AC" w:rsidP="00F23D1D">
      <w:pPr>
        <w:pStyle w:val="ListParagraph"/>
        <w:numPr>
          <w:ilvl w:val="0"/>
          <w:numId w:val="11"/>
        </w:numPr>
        <w:rPr>
          <w:rFonts w:ascii="Arial" w:hAnsi="Arial" w:cs="Arial"/>
          <w:sz w:val="22"/>
          <w:szCs w:val="22"/>
        </w:rPr>
      </w:pPr>
      <w:r w:rsidRPr="00F23D1D">
        <w:rPr>
          <w:rFonts w:ascii="Arial" w:hAnsi="Arial" w:cs="Arial"/>
          <w:sz w:val="22"/>
          <w:szCs w:val="22"/>
        </w:rPr>
        <w:t>The County can only designate reinvestment zones in the unincorporated area</w:t>
      </w:r>
      <w:r w:rsidR="00F23D1D" w:rsidRPr="00F23D1D">
        <w:rPr>
          <w:rFonts w:ascii="Arial" w:hAnsi="Arial" w:cs="Arial"/>
          <w:sz w:val="22"/>
          <w:szCs w:val="22"/>
        </w:rPr>
        <w:t>.</w:t>
      </w:r>
    </w:p>
    <w:p w:rsidR="00B67D38" w:rsidRPr="00F23D1D" w:rsidRDefault="00F444AC" w:rsidP="00F23D1D">
      <w:pPr>
        <w:pStyle w:val="ListParagraph"/>
        <w:numPr>
          <w:ilvl w:val="0"/>
          <w:numId w:val="11"/>
        </w:numPr>
        <w:rPr>
          <w:rFonts w:ascii="Arial" w:hAnsi="Arial" w:cs="Arial"/>
          <w:sz w:val="22"/>
          <w:szCs w:val="22"/>
        </w:rPr>
      </w:pPr>
      <w:r w:rsidRPr="00F23D1D">
        <w:rPr>
          <w:rFonts w:ascii="Arial" w:hAnsi="Arial" w:cs="Arial"/>
          <w:sz w:val="22"/>
          <w:szCs w:val="22"/>
        </w:rPr>
        <w:t xml:space="preserve">The County will need to ask </w:t>
      </w:r>
      <w:r w:rsidR="00B67D38" w:rsidRPr="00F23D1D">
        <w:rPr>
          <w:rFonts w:ascii="Arial" w:hAnsi="Arial" w:cs="Arial"/>
          <w:sz w:val="22"/>
          <w:szCs w:val="22"/>
        </w:rPr>
        <w:t>cities to create reinvestment zones within their city limits</w:t>
      </w:r>
      <w:r w:rsidR="00F23D1D" w:rsidRPr="00F23D1D">
        <w:rPr>
          <w:rFonts w:ascii="Arial" w:hAnsi="Arial" w:cs="Arial"/>
          <w:sz w:val="22"/>
          <w:szCs w:val="22"/>
        </w:rPr>
        <w:t>.</w:t>
      </w:r>
    </w:p>
    <w:p w:rsidR="00B67D38" w:rsidRPr="00F23D1D" w:rsidRDefault="00B67D38" w:rsidP="00F23D1D">
      <w:pPr>
        <w:pStyle w:val="ListParagraph"/>
        <w:numPr>
          <w:ilvl w:val="0"/>
          <w:numId w:val="11"/>
        </w:numPr>
        <w:rPr>
          <w:rFonts w:ascii="Arial" w:hAnsi="Arial" w:cs="Arial"/>
          <w:sz w:val="22"/>
          <w:szCs w:val="22"/>
        </w:rPr>
      </w:pPr>
      <w:r w:rsidRPr="00F23D1D">
        <w:rPr>
          <w:rFonts w:ascii="Arial" w:hAnsi="Arial" w:cs="Arial"/>
          <w:sz w:val="22"/>
          <w:szCs w:val="22"/>
        </w:rPr>
        <w:t>Abatements cannot be given with</w:t>
      </w:r>
      <w:r w:rsidR="00FC3BA8">
        <w:rPr>
          <w:rFonts w:ascii="Arial" w:hAnsi="Arial" w:cs="Arial"/>
          <w:sz w:val="22"/>
          <w:szCs w:val="22"/>
        </w:rPr>
        <w:t>in</w:t>
      </w:r>
      <w:r w:rsidRPr="00F23D1D">
        <w:rPr>
          <w:rFonts w:ascii="Arial" w:hAnsi="Arial" w:cs="Arial"/>
          <w:sz w:val="22"/>
          <w:szCs w:val="22"/>
        </w:rPr>
        <w:t xml:space="preserve"> existing TIF or TIRZ districts</w:t>
      </w:r>
      <w:r w:rsidR="00F23D1D" w:rsidRPr="00F23D1D">
        <w:rPr>
          <w:rFonts w:ascii="Arial" w:hAnsi="Arial" w:cs="Arial"/>
          <w:sz w:val="22"/>
          <w:szCs w:val="22"/>
        </w:rPr>
        <w:t>.</w:t>
      </w:r>
    </w:p>
    <w:p w:rsidR="00B67D38" w:rsidRPr="00F23D1D" w:rsidRDefault="00B67D38" w:rsidP="00F23D1D">
      <w:pPr>
        <w:pStyle w:val="ListParagraph"/>
        <w:numPr>
          <w:ilvl w:val="0"/>
          <w:numId w:val="11"/>
        </w:numPr>
        <w:rPr>
          <w:rFonts w:ascii="Arial" w:hAnsi="Arial" w:cs="Arial"/>
          <w:sz w:val="22"/>
          <w:szCs w:val="22"/>
        </w:rPr>
      </w:pPr>
      <w:r w:rsidRPr="00F23D1D">
        <w:rPr>
          <w:rFonts w:ascii="Arial" w:hAnsi="Arial" w:cs="Arial"/>
          <w:sz w:val="22"/>
          <w:szCs w:val="22"/>
        </w:rPr>
        <w:t>The existing Tax Abatement Policy must be amended</w:t>
      </w:r>
      <w:r w:rsidR="00F23D1D" w:rsidRPr="00F23D1D">
        <w:rPr>
          <w:rFonts w:ascii="Arial" w:hAnsi="Arial" w:cs="Arial"/>
          <w:sz w:val="22"/>
          <w:szCs w:val="22"/>
        </w:rPr>
        <w:t>.</w:t>
      </w:r>
    </w:p>
    <w:p w:rsidR="00B67D38" w:rsidRPr="00F23D1D" w:rsidRDefault="00B67D38" w:rsidP="00F23D1D">
      <w:pPr>
        <w:pStyle w:val="ListParagraph"/>
        <w:numPr>
          <w:ilvl w:val="0"/>
          <w:numId w:val="11"/>
        </w:numPr>
        <w:rPr>
          <w:rFonts w:ascii="Arial" w:hAnsi="Arial" w:cs="Arial"/>
          <w:sz w:val="22"/>
          <w:szCs w:val="22"/>
        </w:rPr>
      </w:pPr>
      <w:r w:rsidRPr="00F23D1D">
        <w:rPr>
          <w:rFonts w:ascii="Arial" w:hAnsi="Arial" w:cs="Arial"/>
          <w:sz w:val="22"/>
          <w:szCs w:val="22"/>
        </w:rPr>
        <w:t xml:space="preserve">An individual </w:t>
      </w:r>
      <w:r w:rsidR="00F23D1D" w:rsidRPr="00F23D1D">
        <w:rPr>
          <w:rFonts w:ascii="Arial" w:hAnsi="Arial" w:cs="Arial"/>
          <w:sz w:val="22"/>
          <w:szCs w:val="22"/>
        </w:rPr>
        <w:t xml:space="preserve">abatement </w:t>
      </w:r>
      <w:r w:rsidRPr="00F23D1D">
        <w:rPr>
          <w:rFonts w:ascii="Arial" w:hAnsi="Arial" w:cs="Arial"/>
          <w:sz w:val="22"/>
          <w:szCs w:val="22"/>
        </w:rPr>
        <w:t>agreement will be needed with each new business</w:t>
      </w:r>
      <w:r w:rsidR="00F23D1D" w:rsidRPr="00F23D1D">
        <w:rPr>
          <w:rFonts w:ascii="Arial" w:hAnsi="Arial" w:cs="Arial"/>
          <w:sz w:val="22"/>
          <w:szCs w:val="22"/>
        </w:rPr>
        <w:t>.</w:t>
      </w:r>
    </w:p>
    <w:p w:rsidR="00F23D1D" w:rsidRPr="00F23D1D" w:rsidRDefault="00B67D38" w:rsidP="00F23D1D">
      <w:pPr>
        <w:pStyle w:val="ListParagraph"/>
        <w:numPr>
          <w:ilvl w:val="0"/>
          <w:numId w:val="11"/>
        </w:numPr>
        <w:rPr>
          <w:rFonts w:ascii="Arial" w:hAnsi="Arial" w:cs="Arial"/>
          <w:sz w:val="22"/>
          <w:szCs w:val="22"/>
        </w:rPr>
      </w:pPr>
      <w:r w:rsidRPr="00F23D1D">
        <w:rPr>
          <w:rFonts w:ascii="Arial" w:hAnsi="Arial" w:cs="Arial"/>
          <w:sz w:val="22"/>
          <w:szCs w:val="22"/>
        </w:rPr>
        <w:t>The c</w:t>
      </w:r>
      <w:r w:rsidR="00F23D1D" w:rsidRPr="00F23D1D">
        <w:rPr>
          <w:rFonts w:ascii="Arial" w:hAnsi="Arial" w:cs="Arial"/>
          <w:sz w:val="22"/>
          <w:szCs w:val="22"/>
        </w:rPr>
        <w:t>ounty must set employ count or</w:t>
      </w:r>
      <w:r w:rsidRPr="00F23D1D">
        <w:rPr>
          <w:rFonts w:ascii="Arial" w:hAnsi="Arial" w:cs="Arial"/>
          <w:sz w:val="22"/>
          <w:szCs w:val="22"/>
        </w:rPr>
        <w:t xml:space="preserve"> taxable value thresholds </w:t>
      </w:r>
      <w:r w:rsidR="00F23D1D" w:rsidRPr="00F23D1D">
        <w:rPr>
          <w:rFonts w:ascii="Arial" w:hAnsi="Arial" w:cs="Arial"/>
          <w:sz w:val="22"/>
          <w:szCs w:val="22"/>
        </w:rPr>
        <w:t>as part of each agreement.</w:t>
      </w:r>
    </w:p>
    <w:p w:rsidR="00F23D1D" w:rsidRDefault="00F23D1D" w:rsidP="00F23D1D">
      <w:pPr>
        <w:pStyle w:val="ListParagraph"/>
        <w:numPr>
          <w:ilvl w:val="0"/>
          <w:numId w:val="11"/>
        </w:numPr>
        <w:rPr>
          <w:rFonts w:ascii="Arial" w:hAnsi="Arial" w:cs="Arial"/>
          <w:sz w:val="22"/>
          <w:szCs w:val="22"/>
        </w:rPr>
      </w:pPr>
      <w:r w:rsidRPr="00F23D1D">
        <w:rPr>
          <w:rFonts w:ascii="Arial" w:hAnsi="Arial" w:cs="Arial"/>
          <w:sz w:val="22"/>
          <w:szCs w:val="22"/>
        </w:rPr>
        <w:t>The abatement agreement must be approved by December 31</w:t>
      </w:r>
      <w:r w:rsidRPr="00F23D1D">
        <w:rPr>
          <w:rFonts w:ascii="Arial" w:hAnsi="Arial" w:cs="Arial"/>
          <w:sz w:val="22"/>
          <w:szCs w:val="22"/>
          <w:vertAlign w:val="superscript"/>
        </w:rPr>
        <w:t>st</w:t>
      </w:r>
      <w:r w:rsidRPr="00F23D1D">
        <w:rPr>
          <w:rFonts w:ascii="Arial" w:hAnsi="Arial" w:cs="Arial"/>
          <w:sz w:val="22"/>
          <w:szCs w:val="22"/>
        </w:rPr>
        <w:t xml:space="preserve"> of each year to be effective on the January 1</w:t>
      </w:r>
      <w:r w:rsidRPr="00F23D1D">
        <w:rPr>
          <w:rFonts w:ascii="Arial" w:hAnsi="Arial" w:cs="Arial"/>
          <w:sz w:val="22"/>
          <w:szCs w:val="22"/>
          <w:vertAlign w:val="superscript"/>
        </w:rPr>
        <w:t>st</w:t>
      </w:r>
      <w:r w:rsidRPr="00F23D1D">
        <w:rPr>
          <w:rFonts w:ascii="Arial" w:hAnsi="Arial" w:cs="Arial"/>
          <w:sz w:val="22"/>
          <w:szCs w:val="22"/>
        </w:rPr>
        <w:t xml:space="preserve"> value date of the next year.</w:t>
      </w:r>
    </w:p>
    <w:p w:rsidR="005A228E" w:rsidRDefault="005A228E" w:rsidP="00F23D1D">
      <w:pPr>
        <w:pStyle w:val="ListParagraph"/>
        <w:numPr>
          <w:ilvl w:val="0"/>
          <w:numId w:val="11"/>
        </w:numPr>
        <w:rPr>
          <w:rFonts w:ascii="Arial" w:hAnsi="Arial" w:cs="Arial"/>
          <w:sz w:val="22"/>
          <w:szCs w:val="22"/>
        </w:rPr>
      </w:pPr>
      <w:r>
        <w:rPr>
          <w:rFonts w:ascii="Arial" w:hAnsi="Arial" w:cs="Arial"/>
          <w:sz w:val="22"/>
          <w:szCs w:val="22"/>
        </w:rPr>
        <w:t>Name for this abatement program</w:t>
      </w:r>
    </w:p>
    <w:p w:rsidR="005A228E" w:rsidRDefault="005A228E" w:rsidP="00F23D1D">
      <w:pPr>
        <w:pStyle w:val="ListParagraph"/>
        <w:numPr>
          <w:ilvl w:val="0"/>
          <w:numId w:val="11"/>
        </w:numPr>
        <w:rPr>
          <w:rFonts w:ascii="Arial" w:hAnsi="Arial" w:cs="Arial"/>
          <w:sz w:val="22"/>
          <w:szCs w:val="22"/>
        </w:rPr>
      </w:pPr>
      <w:r>
        <w:rPr>
          <w:rFonts w:ascii="Arial" w:hAnsi="Arial" w:cs="Arial"/>
          <w:sz w:val="22"/>
          <w:szCs w:val="22"/>
        </w:rPr>
        <w:t>Expected expiration of this abatement program</w:t>
      </w:r>
    </w:p>
    <w:p w:rsidR="00F23D1D" w:rsidRDefault="00F23D1D" w:rsidP="00F23D1D">
      <w:pPr>
        <w:pStyle w:val="ListParagraph"/>
        <w:numPr>
          <w:ilvl w:val="0"/>
          <w:numId w:val="11"/>
        </w:numPr>
        <w:rPr>
          <w:rFonts w:ascii="Arial" w:hAnsi="Arial" w:cs="Arial"/>
          <w:sz w:val="22"/>
          <w:szCs w:val="22"/>
        </w:rPr>
      </w:pPr>
      <w:r>
        <w:rPr>
          <w:rFonts w:ascii="Arial" w:hAnsi="Arial" w:cs="Arial"/>
          <w:sz w:val="22"/>
          <w:szCs w:val="22"/>
        </w:rPr>
        <w:t>Need to determine the definition of a new business</w:t>
      </w:r>
    </w:p>
    <w:p w:rsidR="00F23D1D" w:rsidRDefault="00F23D1D" w:rsidP="00F23D1D">
      <w:pPr>
        <w:pStyle w:val="ListParagraph"/>
        <w:numPr>
          <w:ilvl w:val="1"/>
          <w:numId w:val="11"/>
        </w:numPr>
        <w:rPr>
          <w:rFonts w:ascii="Arial" w:hAnsi="Arial" w:cs="Arial"/>
          <w:sz w:val="22"/>
          <w:szCs w:val="22"/>
        </w:rPr>
      </w:pPr>
      <w:r>
        <w:rPr>
          <w:rFonts w:ascii="Arial" w:hAnsi="Arial" w:cs="Arial"/>
          <w:sz w:val="22"/>
          <w:szCs w:val="22"/>
        </w:rPr>
        <w:t>Change in ownership</w:t>
      </w:r>
    </w:p>
    <w:p w:rsidR="00F23D1D" w:rsidRDefault="00FC3BA8" w:rsidP="00F23D1D">
      <w:pPr>
        <w:pStyle w:val="ListParagraph"/>
        <w:numPr>
          <w:ilvl w:val="1"/>
          <w:numId w:val="11"/>
        </w:numPr>
        <w:rPr>
          <w:rFonts w:ascii="Arial" w:hAnsi="Arial" w:cs="Arial"/>
          <w:sz w:val="22"/>
          <w:szCs w:val="22"/>
        </w:rPr>
      </w:pPr>
      <w:r>
        <w:rPr>
          <w:rFonts w:ascii="Arial" w:hAnsi="Arial" w:cs="Arial"/>
          <w:sz w:val="22"/>
          <w:szCs w:val="22"/>
        </w:rPr>
        <w:t>New f</w:t>
      </w:r>
      <w:r w:rsidR="00F23D1D">
        <w:rPr>
          <w:rFonts w:ascii="Arial" w:hAnsi="Arial" w:cs="Arial"/>
          <w:sz w:val="22"/>
          <w:szCs w:val="22"/>
        </w:rPr>
        <w:t>ranchise</w:t>
      </w:r>
      <w:r>
        <w:rPr>
          <w:rFonts w:ascii="Arial" w:hAnsi="Arial" w:cs="Arial"/>
          <w:sz w:val="22"/>
          <w:szCs w:val="22"/>
        </w:rPr>
        <w:t xml:space="preserve"> or branch office</w:t>
      </w:r>
    </w:p>
    <w:p w:rsidR="00B67D38" w:rsidRDefault="00FC3BA8" w:rsidP="00F23D1D">
      <w:pPr>
        <w:pStyle w:val="ListParagraph"/>
        <w:numPr>
          <w:ilvl w:val="1"/>
          <w:numId w:val="11"/>
        </w:numPr>
        <w:rPr>
          <w:rFonts w:ascii="Arial" w:hAnsi="Arial" w:cs="Arial"/>
          <w:sz w:val="22"/>
          <w:szCs w:val="22"/>
        </w:rPr>
      </w:pPr>
      <w:r>
        <w:rPr>
          <w:rFonts w:ascii="Arial" w:hAnsi="Arial" w:cs="Arial"/>
          <w:sz w:val="22"/>
          <w:szCs w:val="22"/>
        </w:rPr>
        <w:t>Relocation within the County</w:t>
      </w:r>
    </w:p>
    <w:p w:rsidR="00FC3BA8" w:rsidRDefault="00FC3BA8" w:rsidP="00FC3BA8">
      <w:pPr>
        <w:pStyle w:val="ListParagraph"/>
        <w:numPr>
          <w:ilvl w:val="1"/>
          <w:numId w:val="11"/>
        </w:numPr>
        <w:rPr>
          <w:rFonts w:ascii="Arial" w:hAnsi="Arial" w:cs="Arial"/>
          <w:sz w:val="22"/>
          <w:szCs w:val="22"/>
        </w:rPr>
      </w:pPr>
      <w:r>
        <w:rPr>
          <w:rFonts w:ascii="Arial" w:hAnsi="Arial" w:cs="Arial"/>
          <w:sz w:val="22"/>
          <w:szCs w:val="22"/>
        </w:rPr>
        <w:t>Change in corporate structure</w:t>
      </w:r>
    </w:p>
    <w:p w:rsidR="00FC3BA8" w:rsidRPr="00FC3BA8" w:rsidRDefault="00FC3BA8" w:rsidP="00FC3BA8">
      <w:pPr>
        <w:rPr>
          <w:rFonts w:ascii="Arial" w:hAnsi="Arial" w:cs="Arial"/>
          <w:sz w:val="22"/>
          <w:szCs w:val="22"/>
        </w:rPr>
      </w:pPr>
    </w:p>
    <w:p w:rsidR="00FC3BA8" w:rsidRPr="00FC3BA8" w:rsidRDefault="00FC3BA8" w:rsidP="00FC3BA8">
      <w:pPr>
        <w:rPr>
          <w:rFonts w:ascii="Arial" w:hAnsi="Arial" w:cs="Arial"/>
          <w:sz w:val="22"/>
          <w:szCs w:val="22"/>
        </w:rPr>
      </w:pPr>
    </w:p>
    <w:p w:rsidR="008F021F" w:rsidRPr="00592288" w:rsidRDefault="00592288">
      <w:pPr>
        <w:rPr>
          <w:rFonts w:ascii="Arial" w:hAnsi="Arial" w:cs="Arial"/>
          <w:sz w:val="22"/>
          <w:szCs w:val="22"/>
        </w:rPr>
      </w:pPr>
      <w:r>
        <w:rPr>
          <w:rFonts w:ascii="Arial" w:hAnsi="Arial" w:cs="Arial"/>
          <w:sz w:val="22"/>
          <w:szCs w:val="22"/>
        </w:rPr>
        <w:t xml:space="preserve"> </w:t>
      </w:r>
    </w:p>
    <w:sectPr w:rsidR="008F021F" w:rsidRPr="00592288" w:rsidSect="001C6A6A">
      <w:footerReference w:type="even" r:id="rId10"/>
      <w:footerReference w:type="default" r:id="rId11"/>
      <w:pgSz w:w="12240" w:h="15840"/>
      <w:pgMar w:top="360" w:right="1296" w:bottom="54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BAE" w:rsidRDefault="005E0BAE">
      <w:r>
        <w:separator/>
      </w:r>
    </w:p>
  </w:endnote>
  <w:endnote w:type="continuationSeparator" w:id="0">
    <w:p w:rsidR="005E0BAE" w:rsidRDefault="005E0B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AB" w:rsidRDefault="003413A7" w:rsidP="00E056C7">
    <w:pPr>
      <w:pStyle w:val="Footer"/>
      <w:framePr w:wrap="around" w:vAnchor="text" w:hAnchor="margin" w:xAlign="right" w:y="1"/>
      <w:rPr>
        <w:rStyle w:val="PageNumber"/>
      </w:rPr>
    </w:pPr>
    <w:r>
      <w:rPr>
        <w:rStyle w:val="PageNumber"/>
      </w:rPr>
      <w:fldChar w:fldCharType="begin"/>
    </w:r>
    <w:r w:rsidR="004D30AB">
      <w:rPr>
        <w:rStyle w:val="PageNumber"/>
      </w:rPr>
      <w:instrText xml:space="preserve">PAGE  </w:instrText>
    </w:r>
    <w:r>
      <w:rPr>
        <w:rStyle w:val="PageNumber"/>
      </w:rPr>
      <w:fldChar w:fldCharType="end"/>
    </w:r>
  </w:p>
  <w:p w:rsidR="004D30AB" w:rsidRDefault="004D30AB" w:rsidP="007E7E2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AB" w:rsidRDefault="003413A7" w:rsidP="00E056C7">
    <w:pPr>
      <w:pStyle w:val="Footer"/>
      <w:framePr w:wrap="around" w:vAnchor="text" w:hAnchor="margin" w:xAlign="right" w:y="1"/>
      <w:rPr>
        <w:rStyle w:val="PageNumber"/>
      </w:rPr>
    </w:pPr>
    <w:r>
      <w:rPr>
        <w:rStyle w:val="PageNumber"/>
      </w:rPr>
      <w:fldChar w:fldCharType="begin"/>
    </w:r>
    <w:r w:rsidR="004D30AB">
      <w:rPr>
        <w:rStyle w:val="PageNumber"/>
      </w:rPr>
      <w:instrText xml:space="preserve">PAGE  </w:instrText>
    </w:r>
    <w:r>
      <w:rPr>
        <w:rStyle w:val="PageNumber"/>
      </w:rPr>
      <w:fldChar w:fldCharType="separate"/>
    </w:r>
    <w:r w:rsidR="006529D5">
      <w:rPr>
        <w:rStyle w:val="PageNumber"/>
        <w:noProof/>
      </w:rPr>
      <w:t>1</w:t>
    </w:r>
    <w:r>
      <w:rPr>
        <w:rStyle w:val="PageNumber"/>
      </w:rPr>
      <w:fldChar w:fldCharType="end"/>
    </w:r>
  </w:p>
  <w:p w:rsidR="004D30AB" w:rsidRDefault="004D30AB" w:rsidP="007E7E2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BAE" w:rsidRDefault="005E0BAE">
      <w:r>
        <w:separator/>
      </w:r>
    </w:p>
  </w:footnote>
  <w:footnote w:type="continuationSeparator" w:id="0">
    <w:p w:rsidR="005E0BAE" w:rsidRDefault="005E0B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72B6D"/>
    <w:multiLevelType w:val="multilevel"/>
    <w:tmpl w:val="A148D476"/>
    <w:lvl w:ilvl="0">
      <w:start w:val="4"/>
      <w:numFmt w:val="none"/>
      <w:lvlText w:val="1."/>
      <w:lvlJc w:val="lef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5480D2E"/>
    <w:multiLevelType w:val="multilevel"/>
    <w:tmpl w:val="8E50228A"/>
    <w:lvl w:ilvl="0">
      <w:start w:val="4"/>
      <w:numFmt w:val="none"/>
      <w:lvlText w:val="2."/>
      <w:lvlJc w:val="lef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C271581"/>
    <w:multiLevelType w:val="multilevel"/>
    <w:tmpl w:val="8EACD5C0"/>
    <w:lvl w:ilvl="0">
      <w:start w:val="4"/>
      <w:numFmt w:val="none"/>
      <w:lvlText w:val="1."/>
      <w:lvlJc w:val="lef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5CB638C"/>
    <w:multiLevelType w:val="hybridMultilevel"/>
    <w:tmpl w:val="6F8CE10E"/>
    <w:lvl w:ilvl="0" w:tplc="2F7882C6">
      <w:start w:val="4"/>
      <w:numFmt w:val="none"/>
      <w:lvlText w:val="2."/>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822C9A"/>
    <w:multiLevelType w:val="hybridMultilevel"/>
    <w:tmpl w:val="79E84D72"/>
    <w:lvl w:ilvl="0" w:tplc="04090011">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5F5B96"/>
    <w:multiLevelType w:val="hybridMultilevel"/>
    <w:tmpl w:val="916097AA"/>
    <w:lvl w:ilvl="0" w:tplc="61E287A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5F5BCD"/>
    <w:multiLevelType w:val="hybridMultilevel"/>
    <w:tmpl w:val="060A2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0E718E"/>
    <w:multiLevelType w:val="multilevel"/>
    <w:tmpl w:val="8EACD5C0"/>
    <w:lvl w:ilvl="0">
      <w:start w:val="4"/>
      <w:numFmt w:val="none"/>
      <w:lvlText w:val="1."/>
      <w:lvlJc w:val="lef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F2D13EB"/>
    <w:multiLevelType w:val="hybridMultilevel"/>
    <w:tmpl w:val="B3762626"/>
    <w:lvl w:ilvl="0" w:tplc="61E28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CC23CB"/>
    <w:multiLevelType w:val="hybridMultilevel"/>
    <w:tmpl w:val="CBA8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18783E"/>
    <w:multiLevelType w:val="multilevel"/>
    <w:tmpl w:val="680C0696"/>
    <w:lvl w:ilvl="0">
      <w:start w:val="4"/>
      <w:numFmt w:val="none"/>
      <w:lvlText w:val="2."/>
      <w:lvlJc w:val="lef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8"/>
  </w:num>
  <w:num w:numId="3">
    <w:abstractNumId w:val="4"/>
  </w:num>
  <w:num w:numId="4">
    <w:abstractNumId w:val="2"/>
  </w:num>
  <w:num w:numId="5">
    <w:abstractNumId w:val="3"/>
  </w:num>
  <w:num w:numId="6">
    <w:abstractNumId w:val="7"/>
  </w:num>
  <w:num w:numId="7">
    <w:abstractNumId w:val="10"/>
  </w:num>
  <w:num w:numId="8">
    <w:abstractNumId w:val="1"/>
  </w:num>
  <w:num w:numId="9">
    <w:abstractNumId w:val="0"/>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D7CE6"/>
    <w:rsid w:val="0007476F"/>
    <w:rsid w:val="000F7FA4"/>
    <w:rsid w:val="001303EA"/>
    <w:rsid w:val="00137E8A"/>
    <w:rsid w:val="001623B2"/>
    <w:rsid w:val="00167DBE"/>
    <w:rsid w:val="00170579"/>
    <w:rsid w:val="00180EE0"/>
    <w:rsid w:val="001A6850"/>
    <w:rsid w:val="001C47A6"/>
    <w:rsid w:val="001C6A6A"/>
    <w:rsid w:val="001E19FB"/>
    <w:rsid w:val="001E35DD"/>
    <w:rsid w:val="00266A38"/>
    <w:rsid w:val="00283088"/>
    <w:rsid w:val="002917F0"/>
    <w:rsid w:val="002C159C"/>
    <w:rsid w:val="002E77B0"/>
    <w:rsid w:val="003146D2"/>
    <w:rsid w:val="003413A7"/>
    <w:rsid w:val="00362138"/>
    <w:rsid w:val="00381AF4"/>
    <w:rsid w:val="003E6CC7"/>
    <w:rsid w:val="004032C7"/>
    <w:rsid w:val="00424A9F"/>
    <w:rsid w:val="00427F71"/>
    <w:rsid w:val="004370A4"/>
    <w:rsid w:val="00487ED4"/>
    <w:rsid w:val="00491956"/>
    <w:rsid w:val="004A4F3B"/>
    <w:rsid w:val="004B7CA4"/>
    <w:rsid w:val="004D30AB"/>
    <w:rsid w:val="00516101"/>
    <w:rsid w:val="00592288"/>
    <w:rsid w:val="005A228E"/>
    <w:rsid w:val="005E0BAE"/>
    <w:rsid w:val="005E2934"/>
    <w:rsid w:val="006000BC"/>
    <w:rsid w:val="00644251"/>
    <w:rsid w:val="0064572D"/>
    <w:rsid w:val="00650187"/>
    <w:rsid w:val="006529D5"/>
    <w:rsid w:val="006857CA"/>
    <w:rsid w:val="006E5D96"/>
    <w:rsid w:val="006E5F71"/>
    <w:rsid w:val="007058E4"/>
    <w:rsid w:val="00780682"/>
    <w:rsid w:val="00780BE7"/>
    <w:rsid w:val="00784CCE"/>
    <w:rsid w:val="007A7A99"/>
    <w:rsid w:val="007E7E28"/>
    <w:rsid w:val="00800E90"/>
    <w:rsid w:val="00803609"/>
    <w:rsid w:val="00812671"/>
    <w:rsid w:val="00813953"/>
    <w:rsid w:val="0083680E"/>
    <w:rsid w:val="008526B9"/>
    <w:rsid w:val="0085762F"/>
    <w:rsid w:val="008A7205"/>
    <w:rsid w:val="008C4B24"/>
    <w:rsid w:val="008D4C5C"/>
    <w:rsid w:val="008F021F"/>
    <w:rsid w:val="009037B9"/>
    <w:rsid w:val="009259B5"/>
    <w:rsid w:val="009408B0"/>
    <w:rsid w:val="00980E1D"/>
    <w:rsid w:val="00984E2A"/>
    <w:rsid w:val="00992675"/>
    <w:rsid w:val="009C18AA"/>
    <w:rsid w:val="009C2CA6"/>
    <w:rsid w:val="00A4028A"/>
    <w:rsid w:val="00A47B06"/>
    <w:rsid w:val="00A67235"/>
    <w:rsid w:val="00A67FC6"/>
    <w:rsid w:val="00AD3FCB"/>
    <w:rsid w:val="00AF23B2"/>
    <w:rsid w:val="00AF7780"/>
    <w:rsid w:val="00B3419C"/>
    <w:rsid w:val="00B67D38"/>
    <w:rsid w:val="00BE3340"/>
    <w:rsid w:val="00C02976"/>
    <w:rsid w:val="00C37AD5"/>
    <w:rsid w:val="00C61C2D"/>
    <w:rsid w:val="00C657EE"/>
    <w:rsid w:val="00D0294D"/>
    <w:rsid w:val="00D959AF"/>
    <w:rsid w:val="00DC23D8"/>
    <w:rsid w:val="00E056C7"/>
    <w:rsid w:val="00E8708E"/>
    <w:rsid w:val="00E874C5"/>
    <w:rsid w:val="00ED7CE6"/>
    <w:rsid w:val="00EE72E9"/>
    <w:rsid w:val="00F13812"/>
    <w:rsid w:val="00F23D1D"/>
    <w:rsid w:val="00F40737"/>
    <w:rsid w:val="00F444AC"/>
    <w:rsid w:val="00FC3BA8"/>
    <w:rsid w:val="00FE5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57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7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E7E28"/>
    <w:pPr>
      <w:tabs>
        <w:tab w:val="center" w:pos="4320"/>
        <w:tab w:val="right" w:pos="8640"/>
      </w:tabs>
    </w:pPr>
  </w:style>
  <w:style w:type="character" w:styleId="PageNumber">
    <w:name w:val="page number"/>
    <w:basedOn w:val="DefaultParagraphFont"/>
    <w:rsid w:val="007E7E28"/>
  </w:style>
  <w:style w:type="paragraph" w:styleId="BalloonText">
    <w:name w:val="Balloon Text"/>
    <w:basedOn w:val="Normal"/>
    <w:link w:val="BalloonTextChar"/>
    <w:rsid w:val="004D30AB"/>
    <w:rPr>
      <w:rFonts w:ascii="Tahoma" w:hAnsi="Tahoma" w:cs="Tahoma"/>
      <w:sz w:val="16"/>
      <w:szCs w:val="16"/>
    </w:rPr>
  </w:style>
  <w:style w:type="character" w:customStyle="1" w:styleId="BalloonTextChar">
    <w:name w:val="Balloon Text Char"/>
    <w:basedOn w:val="DefaultParagraphFont"/>
    <w:link w:val="BalloonText"/>
    <w:rsid w:val="004D30AB"/>
    <w:rPr>
      <w:rFonts w:ascii="Tahoma" w:hAnsi="Tahoma" w:cs="Tahoma"/>
      <w:sz w:val="16"/>
      <w:szCs w:val="16"/>
    </w:rPr>
  </w:style>
  <w:style w:type="paragraph" w:styleId="PlainText">
    <w:name w:val="Plain Text"/>
    <w:basedOn w:val="Normal"/>
    <w:link w:val="PlainTextChar"/>
    <w:uiPriority w:val="99"/>
    <w:unhideWhenUsed/>
    <w:rsid w:val="006E5F71"/>
    <w:rPr>
      <w:rFonts w:ascii="Consolas" w:eastAsia="Calibri" w:hAnsi="Consolas"/>
      <w:sz w:val="21"/>
      <w:szCs w:val="21"/>
    </w:rPr>
  </w:style>
  <w:style w:type="character" w:customStyle="1" w:styleId="PlainTextChar">
    <w:name w:val="Plain Text Char"/>
    <w:basedOn w:val="DefaultParagraphFont"/>
    <w:link w:val="PlainText"/>
    <w:uiPriority w:val="99"/>
    <w:rsid w:val="006E5F71"/>
    <w:rPr>
      <w:rFonts w:ascii="Consolas" w:eastAsia="Calibri" w:hAnsi="Consolas" w:cs="Times New Roman"/>
      <w:sz w:val="21"/>
      <w:szCs w:val="21"/>
    </w:rPr>
  </w:style>
  <w:style w:type="paragraph" w:styleId="Header">
    <w:name w:val="header"/>
    <w:basedOn w:val="Normal"/>
    <w:link w:val="HeaderChar"/>
    <w:rsid w:val="00A4028A"/>
    <w:pPr>
      <w:tabs>
        <w:tab w:val="center" w:pos="4680"/>
        <w:tab w:val="right" w:pos="9360"/>
      </w:tabs>
    </w:pPr>
  </w:style>
  <w:style w:type="character" w:customStyle="1" w:styleId="HeaderChar">
    <w:name w:val="Header Char"/>
    <w:basedOn w:val="DefaultParagraphFont"/>
    <w:link w:val="Header"/>
    <w:rsid w:val="00A4028A"/>
    <w:rPr>
      <w:sz w:val="24"/>
      <w:szCs w:val="24"/>
    </w:rPr>
  </w:style>
  <w:style w:type="paragraph" w:styleId="ListParagraph">
    <w:name w:val="List Paragraph"/>
    <w:basedOn w:val="Normal"/>
    <w:uiPriority w:val="34"/>
    <w:qFormat/>
    <w:rsid w:val="00F23D1D"/>
    <w:pPr>
      <w:ind w:left="720"/>
      <w:contextualSpacing/>
    </w:pPr>
  </w:style>
  <w:style w:type="character" w:styleId="Hyperlink">
    <w:name w:val="Hyperlink"/>
    <w:basedOn w:val="DefaultParagraphFont"/>
    <w:rsid w:val="00FC3BA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838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llincountytx.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448E8-0E41-459B-92A5-08D805CF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1369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MEMORANDUM</vt:lpstr>
    </vt:vector>
  </TitlesOfParts>
  <Company>Collin County</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engineering2</dc:creator>
  <cp:keywords/>
  <cp:lastModifiedBy>Nicole Gillespie</cp:lastModifiedBy>
  <cp:revision>2</cp:revision>
  <cp:lastPrinted>2011-08-11T19:25:00Z</cp:lastPrinted>
  <dcterms:created xsi:type="dcterms:W3CDTF">2011-08-31T21:33:00Z</dcterms:created>
  <dcterms:modified xsi:type="dcterms:W3CDTF">2011-08-31T21:33:00Z</dcterms:modified>
</cp:coreProperties>
</file>